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/>
          <w:szCs w:val="24"/>
          <w:lang w:val="sr-Latn-CS"/>
        </w:rPr>
      </w:pPr>
      <w:r>
        <w:rPr>
          <w:rFonts w:cs="Times New Roman"/>
          <w:szCs w:val="24"/>
          <w:lang w:val="sr-Latn-CS"/>
        </w:rPr>
      </w:r>
    </w:p>
    <w:p>
      <w:pPr>
        <w:pStyle w:val="Normal"/>
        <w:jc w:val="center"/>
        <w:rPr>
          <w:rFonts w:cs="Times New Roman"/>
          <w:b/>
          <w:szCs w:val="24"/>
          <w:lang w:val="sr-CS"/>
        </w:rPr>
      </w:pPr>
      <w:r>
        <w:rPr>
          <w:rFonts w:cs="Times New Roman"/>
          <w:b/>
          <w:szCs w:val="24"/>
          <w:lang w:val="sr-CS"/>
        </w:rPr>
        <w:t>Реализација активности поводом обележавања</w:t>
      </w:r>
    </w:p>
    <w:p>
      <w:pPr>
        <w:pStyle w:val="Normal"/>
        <w:spacing w:lineRule="auto" w:line="360" w:before="0" w:after="0"/>
        <w:jc w:val="center"/>
        <w:rPr>
          <w:rFonts w:eastAsia="Times New Roman" w:cs="Times New Roman"/>
          <w:b/>
          <w:bCs/>
          <w:sz w:val="24"/>
          <w:szCs w:val="24"/>
          <w:lang w:val="sr-CS" w:eastAsia="sr-Latn-RS"/>
        </w:rPr>
      </w:pPr>
      <w:r>
        <w:rPr>
          <w:rFonts w:eastAsia="Times New Roman" w:cs="Times New Roman"/>
          <w:b/>
          <w:bCs/>
          <w:sz w:val="24"/>
          <w:szCs w:val="24"/>
          <w:lang w:val="sr-CS" w:eastAsia="sr-Latn-RS"/>
        </w:rPr>
        <w:t>Међународни дан старијих особа</w:t>
      </w:r>
    </w:p>
    <w:p>
      <w:pPr>
        <w:pStyle w:val="Normal"/>
        <w:jc w:val="center"/>
        <w:rPr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p>
      <w:pPr>
        <w:pStyle w:val="Normal"/>
        <w:jc w:val="center"/>
        <w:rPr>
          <w:b/>
          <w:sz w:val="28"/>
          <w:szCs w:val="28"/>
          <w:lang w:val="sr-CS"/>
        </w:rPr>
      </w:pPr>
      <w:r>
        <w:rPr>
          <w:b/>
          <w:sz w:val="28"/>
          <w:szCs w:val="28"/>
          <w:lang w:val="sr-CS"/>
        </w:rPr>
      </w:r>
    </w:p>
    <w:tbl>
      <w:tblPr>
        <w:jc w:val="left"/>
        <w:tblInd w:w="-1362" w:type="dxa"/>
        <w:tblBorders>
          <w:top w:val="thinThickSmallGap" w:sz="24" w:space="0" w:color="000001"/>
          <w:left w:val="thinThickSmallGap" w:sz="24" w:space="0" w:color="000001"/>
          <w:bottom w:val="thinThickSmallGap" w:sz="24" w:space="0" w:color="000001"/>
          <w:insideH w:val="thinThickSmallGap" w:sz="24" w:space="0" w:color="000001"/>
          <w:right w:val="nil"/>
          <w:insideV w:val="nil"/>
        </w:tblBorders>
        <w:tblCellMar>
          <w:top w:w="0" w:type="dxa"/>
          <w:left w:w="-45" w:type="dxa"/>
          <w:bottom w:w="0" w:type="dxa"/>
          <w:right w:w="108" w:type="dxa"/>
        </w:tblCellMar>
      </w:tblPr>
      <w:tblGrid>
        <w:gridCol w:w="5220"/>
        <w:gridCol w:w="1759"/>
        <w:gridCol w:w="1256"/>
        <w:gridCol w:w="3090"/>
      </w:tblGrid>
      <w:tr>
        <w:trPr>
          <w:trHeight w:val="1890" w:hRule="atLeast"/>
          <w:cantSplit w:val="true"/>
        </w:trPr>
        <w:tc>
          <w:tcPr>
            <w:tcW w:w="522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</w:r>
          </w:p>
          <w:p>
            <w:pPr>
              <w:pStyle w:val="Normal"/>
              <w:ind w:left="0" w:right="-295" w:hanging="0"/>
              <w:jc w:val="center"/>
              <w:rPr>
                <w:b/>
                <w:lang w:val="sr-CS"/>
              </w:rPr>
            </w:pPr>
            <w:r>
              <w:rPr>
                <w:b/>
                <w:lang w:val="sr-CS"/>
              </w:rPr>
              <w:t>АКТИВНОСТИ</w:t>
            </w:r>
          </w:p>
        </w:tc>
        <w:tc>
          <w:tcPr>
            <w:tcW w:w="175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>ИНСТИТУТИ/</w:t>
            </w:r>
          </w:p>
          <w:p>
            <w:pPr>
              <w:pStyle w:val="Normal"/>
              <w:ind w:left="113" w:right="113" w:hanging="0"/>
              <w:rPr>
                <w:b/>
              </w:rPr>
            </w:pPr>
            <w:r>
              <w:rPr>
                <w:b/>
                <w:lang w:val="sr-CS"/>
              </w:rPr>
              <w:t>ЗАВОДИ ЗА ЈАВНО ЗДРАВЉЕ</w:t>
            </w:r>
            <w:r>
              <w:rPr>
                <w:b/>
              </w:rPr>
              <w:t xml:space="preserve"> </w:t>
            </w:r>
          </w:p>
        </w:tc>
        <w:tc>
          <w:tcPr>
            <w:tcW w:w="1256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</w:rPr>
            </w:pPr>
            <w:r>
              <w:rPr>
                <w:b/>
                <w:lang w:val="sr-CS"/>
              </w:rPr>
              <w:t xml:space="preserve">  </w:t>
            </w:r>
            <w:r>
              <w:rPr>
                <w:b/>
                <w:lang w:val="sr-CS"/>
              </w:rPr>
              <w:t>ДОМОВИ ЗДРАВЉА</w:t>
            </w:r>
            <w:r>
              <w:rPr>
                <w:b/>
              </w:rPr>
              <w:t xml:space="preserve"> </w:t>
            </w:r>
          </w:p>
        </w:tc>
        <w:tc>
          <w:tcPr>
            <w:tcW w:w="309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thinThickSmallGap" w:sz="24" w:space="0" w:color="000001"/>
              <w:insideV w:val="thinThickSmallGap" w:sz="24" w:space="0" w:color="000001"/>
            </w:tcBorders>
            <w:shd w:fill="FFFFFF" w:val="clear"/>
            <w:tcMar>
              <w:left w:w="-45" w:type="dxa"/>
            </w:tcMar>
            <w:textDirection w:val="tbRl"/>
          </w:tcPr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</w:p>
          <w:p>
            <w:pPr>
              <w:pStyle w:val="Normal"/>
              <w:ind w:left="113" w:right="113" w:hanging="0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>БОЛНИЧКЕ УСТАНОВЕ</w:t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1</w:t>
            </w:r>
          </w:p>
        </w:tc>
        <w:tc>
          <w:tcPr>
            <w:tcW w:w="1759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tabs>
                <w:tab w:val="left" w:pos="620" w:leader="none"/>
              </w:tabs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2</w:t>
            </w:r>
          </w:p>
        </w:tc>
        <w:tc>
          <w:tcPr>
            <w:tcW w:w="1256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nil"/>
              <w:insideV w:val="nil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tabs>
                <w:tab w:val="left" w:pos="620" w:leader="none"/>
              </w:tabs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3</w:t>
            </w:r>
          </w:p>
        </w:tc>
        <w:tc>
          <w:tcPr>
            <w:tcW w:w="3090" w:type="dxa"/>
            <w:tcBorders>
              <w:top w:val="thinThickSmallGap" w:sz="24" w:space="0" w:color="000001"/>
              <w:left w:val="thinThickSmallGap" w:sz="24" w:space="0" w:color="000001"/>
              <w:bottom w:val="thinThickSmallGap" w:sz="24" w:space="0" w:color="000001"/>
              <w:insideH w:val="thinThickSmallGap" w:sz="24" w:space="0" w:color="000001"/>
              <w:right w:val="thinThickSmallGap" w:sz="24" w:space="0" w:color="000001"/>
              <w:insideV w:val="thinThickSmallGap" w:sz="24" w:space="0" w:color="000001"/>
            </w:tcBorders>
            <w:shd w:fill="FFFFFF" w:val="clear"/>
            <w:tcMar>
              <w:left w:w="-45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  <w:t>4</w:t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Latn-CS"/>
              </w:rPr>
            </w:pPr>
            <w:r>
              <w:rPr>
                <w:b/>
                <w:lang w:val="sr-CS"/>
              </w:rPr>
              <w:t>Организациони састанак</w:t>
            </w:r>
            <w:r>
              <w:rPr>
                <w:b/>
                <w:lang w:val="sr-Latn-CS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lang w:val="sr-CS"/>
              </w:rPr>
              <w:t>Предавање-број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sz w:val="20"/>
                <w:szCs w:val="20"/>
                <w:lang w:val="sr-CS"/>
              </w:rPr>
              <w:t>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CS"/>
              </w:rPr>
            </w:pPr>
            <w:r>
              <w:rPr>
                <w:b/>
                <w:lang w:val="sr-CS"/>
              </w:rPr>
              <w:t>Предавање</w:t>
            </w:r>
            <w:r>
              <w:rPr>
                <w:b/>
                <w:lang w:val="nb-NO"/>
              </w:rPr>
              <w:t>-</w:t>
            </w:r>
            <w:r>
              <w:rPr>
                <w:b/>
                <w:lang w:val="sr-CS"/>
              </w:rPr>
              <w:t>број учесника</w:t>
            </w:r>
            <w:r>
              <w:rPr>
                <w:b/>
                <w:sz w:val="20"/>
                <w:szCs w:val="20"/>
                <w:lang w:val="sr-CS"/>
              </w:rPr>
              <w:t xml:space="preserve"> 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nb-NO"/>
              </w:rPr>
            </w:pPr>
            <w:r>
              <w:rPr>
                <w:sz w:val="20"/>
                <w:szCs w:val="20"/>
                <w:lang w:val="nb-NO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медијских наступа (укупно)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наступа на ТВ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наступа на радију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  <w:lang w:val="sr-CS"/>
              </w:rPr>
            </w:pPr>
            <w:r>
              <w:rPr>
                <w:bCs/>
                <w:sz w:val="22"/>
                <w:szCs w:val="20"/>
                <w:lang w:val="sr-CS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Број писаних медија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lang w:val="sr-CS"/>
              </w:rPr>
              <w:t>Сај</w:t>
            </w:r>
            <w:r>
              <w:rPr>
                <w:b/>
                <w:sz w:val="24"/>
                <w:szCs w:val="24"/>
                <w:lang w:val="sr-CS"/>
              </w:rPr>
              <w:t>т</w:t>
            </w:r>
            <w:r>
              <w:rPr>
                <w:b/>
                <w:sz w:val="24"/>
                <w:szCs w:val="24"/>
                <w:lang w:val="sr-Latn-CS"/>
              </w:rPr>
              <w:t>+Друштвене мреже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Остале активност укупно (навести врсту)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2"/>
                <w:szCs w:val="20"/>
                <w:lang w:val="sr-Latn-CS"/>
              </w:rPr>
            </w:pPr>
            <w:r>
              <w:rPr>
                <w:sz w:val="22"/>
                <w:szCs w:val="20"/>
                <w:lang w:val="sr-Latn-CS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lang w:val="sr-CS"/>
              </w:rPr>
              <w:t>Индивидуални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lang w:val="sr-CS"/>
              </w:rPr>
              <w:t>Групни здравствено васпитни рад</w:t>
            </w:r>
            <w:r>
              <w:rPr>
                <w:b/>
                <w:sz w:val="20"/>
                <w:szCs w:val="20"/>
                <w:lang w:val="sr-Latn-CS"/>
              </w:rPr>
              <w:t>***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Јавне манифестације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Процена броја учесника на јавној манифестацији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  <w:lang w:val="sr-Latn-CS"/>
              </w:rPr>
            </w:pPr>
            <w:r>
              <w:rPr>
                <w:bCs/>
                <w:sz w:val="22"/>
                <w:szCs w:val="20"/>
                <w:lang w:val="sr-Latn-CS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Здравсвено васпитне изложбе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Трибине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>Конференције за новинаре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</w:rPr>
            </w:pPr>
            <w:r>
              <w:rPr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постера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лифлета  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дистрибуираних  </w:t>
            </w:r>
            <w:r>
              <w:rPr>
                <w:b/>
                <w:sz w:val="24"/>
                <w:szCs w:val="24"/>
                <w:lang w:val="ru-RU"/>
              </w:rPr>
              <w:t>брошура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>Број дистрибуираних осталог промотивног и едукативног материјала (навести врсте)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  <w:lang w:val="sr-CS"/>
              </w:rPr>
            </w:pPr>
            <w:r>
              <w:rPr>
                <w:sz w:val="20"/>
                <w:szCs w:val="20"/>
                <w:lang w:val="sr-CS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  <w:tr>
        <w:trPr>
          <w:cantSplit w:val="false"/>
        </w:trPr>
        <w:tc>
          <w:tcPr>
            <w:tcW w:w="52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b/>
                <w:lang w:val="sr-CS"/>
              </w:rPr>
            </w:pPr>
            <w:r>
              <w:rPr>
                <w:b/>
                <w:lang w:val="sr-CS"/>
              </w:rPr>
              <w:t xml:space="preserve"> </w:t>
            </w:r>
            <w:r>
              <w:rPr>
                <w:b/>
                <w:lang w:val="sr-CS"/>
              </w:rPr>
              <w:t xml:space="preserve">Број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lang w:val="sr-CS"/>
              </w:rPr>
              <w:t>партнера укључених у активности (локална заједница, удружења грађана, организације црвеног крста, просвета, ...)</w:t>
            </w:r>
          </w:p>
        </w:tc>
        <w:tc>
          <w:tcPr>
            <w:tcW w:w="1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jc w:val="center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</w:r>
          </w:p>
        </w:tc>
        <w:tc>
          <w:tcPr>
            <w:tcW w:w="3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</w:r>
          </w:p>
        </w:tc>
      </w:tr>
    </w:tbl>
    <w:p>
      <w:pPr>
        <w:pStyle w:val="Normal"/>
        <w:tabs>
          <w:tab w:val="left" w:pos="5040" w:leader="none"/>
        </w:tabs>
        <w:jc w:val="center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rFonts w:cs="Times New Roman"/>
          <w:b/>
          <w:szCs w:val="24"/>
          <w:lang w:val="sr-CS"/>
        </w:rPr>
      </w:pPr>
      <w:r>
        <w:rPr>
          <w:rFonts w:cs="Times New Roman"/>
          <w:b/>
          <w:szCs w:val="24"/>
          <w:lang w:val="sr-CS"/>
        </w:rPr>
        <w:t>Напомена: у табели се квантификују активности реализоване у оквиру кампање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*навести испод табеле циљну групу којој су намењена предавања и број учесника: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здравствени радници/сарадници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адолесценти 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(тема, број предавања, број учесника)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старије особе 65+  (тема, број предавања, број учесника)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center"/>
        <w:rPr>
          <w:b/>
          <w:lang w:val="sr-CS"/>
        </w:rPr>
      </w:pPr>
      <w:r>
        <w:rPr>
          <w:b/>
          <w:lang w:val="sr-CS"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** навести испод табеле циљну групу коме је пружена услуга (индивидуални здравствено-васпитни рад):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деца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адолесценти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</w:t>
      </w:r>
      <w:r>
        <w:rPr>
          <w:b/>
          <w:lang w:val="sr-CS"/>
        </w:rPr>
        <w:t>старије особе 65+ (број услуга)</w:t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*** навести циљну групу коме је пружена услуга (групни здравствено-васпитни рад):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деца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адолесценти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>- одрасло становништво  (број услуга)</w:t>
      </w:r>
    </w:p>
    <w:p>
      <w:pPr>
        <w:pStyle w:val="Normal"/>
        <w:jc w:val="left"/>
        <w:rPr>
          <w:b/>
          <w:lang w:val="sr-CS"/>
        </w:rPr>
      </w:pPr>
      <w:r>
        <w:rPr>
          <w:b/>
          <w:lang w:val="sr-CS"/>
        </w:rPr>
        <w:t xml:space="preserve">- </w:t>
      </w:r>
      <w:r>
        <w:rPr>
          <w:b/>
          <w:lang w:val="sr-CS"/>
        </w:rPr>
        <w:t>старије особе 65+ (број услуга)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719" w:footer="0" w:bottom="5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HelvPlain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zh-CN" w:bidi="ar-SA"/>
    </w:rPr>
  </w:style>
  <w:style w:type="paragraph" w:styleId="Heading1">
    <w:name w:val="Heading 1"/>
    <w:basedOn w:val="Normal"/>
    <w:pPr>
      <w:spacing w:before="280" w:after="280"/>
      <w:outlineLvl w:val="0"/>
    </w:pPr>
    <w:rPr>
      <w:b/>
      <w:bCs/>
      <w:color w:val="000000"/>
      <w:sz w:val="48"/>
      <w:szCs w:val="48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NoSpacing">
    <w:name w:val="No Spacing"/>
    <w:pPr>
      <w:widowControl/>
      <w:suppressAutoHyphens w:val="true"/>
      <w:bidi w:val="0"/>
      <w:jc w:val="left"/>
    </w:pPr>
    <w:rPr>
      <w:rFonts w:ascii="CHelvPlain;Times New Roman" w:hAnsi="CHelvPlain;Times New Roman" w:eastAsia="Times New Roman" w:cs="CHelvPlain;Times New Roman"/>
      <w:color w:val="00000A"/>
      <w:sz w:val="24"/>
      <w:szCs w:val="20"/>
      <w:lang w:val="en-US" w:eastAsia="zh-CN" w:bidi="ar-SA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2014-02-05T15:13:00Z</dcterms:created>
  <dc:creator>Djurdja DjK. Kisin</dc:creator>
  <dc:language>en-US</dc:language>
  <cp:lastModifiedBy>bogunovic_mirjana</cp:lastModifiedBy>
  <cp:lastPrinted>2011-10-28T09:45:00Z</cp:lastPrinted>
  <dcterms:modified xsi:type="dcterms:W3CDTF">2014-03-10T15:33:00Z</dcterms:modified>
  <cp:revision>13</cp:revision>
  <dc:title>Реализација активности поводом обележавања</dc:title>
</cp:coreProperties>
</file>